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260498046875" w:line="240" w:lineRule="auto"/>
        <w:ind w:left="0" w:right="0" w:firstLine="0"/>
        <w:jc w:val="center"/>
        <w:rPr>
          <w:rFonts w:ascii="Times New Roman" w:cs="Times New Roman" w:eastAsia="Times New Roman" w:hAnsi="Times New Roman"/>
          <w:b w:val="1"/>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6"/>
          <w:szCs w:val="36"/>
          <w:u w:val="none"/>
          <w:shd w:fill="auto" w:val="clear"/>
          <w:vertAlign w:val="baseline"/>
          <w:rtl w:val="0"/>
        </w:rPr>
        <w:t xml:space="preserve">REVENUE RECYCLING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0.279541015625" w:line="458.1499671936035" w:lineRule="auto"/>
        <w:ind w:left="202.15988159179688" w:right="202.624511718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EXPLORING USES FOR REVENUE GENERATED FROM THE CANADIAN FEDERAL  CARBON TAX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37060546875"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Jaron Wiigs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3.65966796875" w:line="459.9617385864258" w:lineRule="auto"/>
        <w:ind w:left="0" w:right="1.881103515625" w:firstLine="723.37997436523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the effects of climate change worsen, the policy sphere surrounding abatement of  carbon emissions continues to become more researched and complex. In 2023, many developed  countries have committed themselves to several carbon emission reductions goals along with  other environmentally focused pledges. Many policies adopted by governing bodies involve  market mechanisms, as these are usually favored in most, if not all modern free market or semi free market economies. Often, these market mechanisms will generate government revenues. In  the case of carbon taxation, these revenues will be collected per unit of carbon emitted, while in  the case of tradeable carbon permits, revenues will be according to the number of permits sold to  industries from the government. The government may do with these revenues what they please,  but for sake of logical consistency these revenues are often used for some activity which reduces  the economic strain of the corresponding environmental policy or has some logical relevancy to  the goal that the policy lays out. Transfers, tax cuts, and subsidies are all popular tools  policymakers use to stimulate activity. When deciding how to recycle these revenues, a  governing body must weigh economic, political, and sociological factors of each option. In  Canada, much of the recent political discourse has been over the relatively recent federal carbon  tax. Although many Canadians don’t realize, the federal government of Canada chose monetary  transfers as the tool of easing the economic pressure caused by the tax. For Canadians, this means that the product of the price of the tax on carbon and the quantity of emissions collected in  their province is divided and distributed back to themselves in the form of a bank account direct  deposit. The act of distributing the gains made from a tax is called “Revenue Recycling”. Canada’s revenue recycling system is also "progressive”, meaning that proportionally higher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64917182922363" w:lineRule="auto"/>
        <w:ind w:left="2.39990234375" w:right="11.424560546875" w:firstLine="5.7600402832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amounts are returned to lower income households. Though lump sum transfers seem desirable,  the carbon tax in its entirety is still heavily scrutinized. The way in which revenue is recycled can  drastically affect the success of a policy, and below we will discuss options with the possibility  of making the carbon tax more efficient.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87158203125" w:line="459.9038314819336" w:lineRule="auto"/>
        <w:ind w:left="0.479888916015625" w:right="22.919921875" w:firstLine="727.9400634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Canada’s federal carbon tax is a “backstop” in the sense that if a province does not want  to be subjected to the policy, they have an option to design a preferable system that meets federal  regulations (Federal Government of Canada, 2022). In a taxation scenario, the federal rate  therefore acts as a price floor for carbon emissions. This would be the minimum standard price a  province would have to enact in order to not be subject to the province to the federal rate  (Federal Government of Canada, 2022). Provinces who have their own program and are not  subject to the federal rate must also show that their system prevents a similar quantity of  pollution as the federal backstop, has clear price signals, sufficiently protects truly vulnerable  industries against carbon leakage, has offset credits, and has a stable and certain trajectory  (Federal Government of Canada, 2022). Currently, Ontario, Manitoba, Yukon, Alberta,  Saskatchewan, and Nunavut fall under the federal carbon pricing system (Federal Government of  Canada, 2022). The Federal fuel Charge is administered by the CRA (Federal Government of  Canada, 2022). The federal price of carbon was initially set in 2019 at $20 per tonne, and  increased by $10 per tonne each year up to $50 in 2022 (Federal Government of Canada, 2022). The rate is planned to increase by $15 each year from 2023-2030 (Federal Government of  Canada, 2022). The federal system also has a performance-based system for industries, called  “the Output-Based Pricing System” (Federal Government of Canada, 2022). The output based  pricing system works by setting a standard for units of emission per unit produced. Facilities that  emit more than the standard must pay, while facilities that emit less receive credits they can sell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89925384521484" w:lineRule="auto"/>
        <w:ind w:left="0.479888916015625" w:right="16.224365234375" w:firstLine="5.7600402832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 keep for the future, much like a permit-based system (Federal Government of Canada, 2022). This system helps to further incentivize ways to produce with less emissions. OBPS is mostly  used for the largest emitters and industries (Federal Government of Canada, 2022). What is  interesting is that the proceeds of OBPS are actually not returned as lump sum transfers, but are  recycled as investments into industrial projects to cut emissions, and to use new clean technology  and processes (Federal Government of Canada, 2022). Currently, the provinces using the federal  OBPS system are Manitoba, Prince Edward Island, the Yukon, Nunavut, and Saskatchewan  (only partially)(Federal Government of Canada, 2022). Therefore, technically the federal Carbon  Pricing system is a hybrid system, incorporating both a carbon tax as well as a permit-based system for large polluters. This is important to keep in mind, as both these mechanisms generate  revenue for the federal government. Currently Quebec and Nova scotia have their own Cap and  trade system that meets federal requirements (Federal Government of Canada, 2022). Northwest  Territories and British Columbia also have their own tax system, meeting regulations (Federal  Government of Canada, 2022). This means these provinces and territories are all exempt from  the federal system. British Columbia in particular provides deep insight into revenue recycling,  as the province was an early adopter of a carbon tax system with revenue recycling. Incentives  against pollution in Canada have already been shown to help reduce carbon emissions, increase  innovation, and help Canadian industries compete in emerging global green economies (Federal  Government of Canada, 2022).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207275390625" w:line="461.06560707092285" w:lineRule="auto"/>
        <w:ind w:left="0.479888916015625" w:right="110.28442382812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Almost any regulation of otherwise unregulated markets will cause a change in price and  quantity on a micro level. When analyzing a singular market in a microeconomics scenario,  effects of policies are easy to determine and predict. We know that when there is too much  pollution, the quantity of pollution is too high and the price of pollution is too low. In a carbon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99773025512695" w:lineRule="auto"/>
        <w:ind w:left="0" w:right="15.92041015625" w:firstLine="5.27999877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emissions regulations scenario, this logic still holds, and the main goal is to limit the amount of  carbon that is emitted. In a taxation scenario, optimal quantity and price are changed by adding a  per unit tax, with a measurable deadweight loss. In a tradeable permits scenario, a quota is  instituted on the entire market, and the deadweight loss can similarly be measured accurately. If  the carbon tax was a microeconomic issue, choosing an optimal revenue recycling strategy  would be as simple as weighing the benefits from a solution against the DWL. On a macro scale  however, manipulation of one market will almost always interact with and affect other markets.  In something as broad as a carbon tax, virtually every good is likely to be affected, as the cost of  every process from manufacturing to transport rises. Economists use measures like the MCF or marginal cost of public funds, a measurement that estimates the broad cost to society of raising  tax revenues by 1 extra dollar (Dahlby et Al, 2011). Calculating an MCF is an incredibly detailed  process as not only does the group nominally paying the extra tax have to be considered, but also  where the real burden of the extra tax rate lays (Dahlby et Al, 2011). Policymakers must also  measure costs associated with administering and complying with new taxes, as well as the  impact extra tax rates will have on future growth (Dahbly et Al, 2011). MCF with its complex  variables and factors is often left to cost benefit analysis professionals. CBA is an essential part  of policy decision making, and the MCF represents half of the equation of a public cost benefit  analysis. When a benefit from the rise in taxes is proposed it must be measured against the MCF  (Dahlby et Al, 2011). Changes in taxes are also often followed by changes in the tax base. A tax  base refers to the value of economic activity the tax or proposed tax can collect revenue from  (Dahlby et Al, 2011). It is expected that following an increase in taxes, the corresponding tax  base will shrink (Dahlby et Al, 2011). This is important to remember when considering a carbon  tax, as the main goal is actually to shrink the tax base in the long run, to reduce those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8.1499671936035" w:lineRule="auto"/>
        <w:ind w:left="5.999908447265625" w:right="500.782470703125" w:hanging="5.5200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participating in activities that emit carbon dioxide. Economists generally agree that taxes  generally take years of implementation to significantly alter a tax base (Dahlby et Al, 2011).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69189453125" w:line="459.76696014404297" w:lineRule="auto"/>
        <w:ind w:left="0" w:right="0" w:firstLine="724.10003662109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Canada, provincial corporate income tax has been estimated to have the highest MCF,  while sales tax has been estimated to have the lowest (Dahlby et Al, 2011). This measure can be  useful when deciding to make changes to taxes in the future. MCF however does not consider  which part of the public pays the cost specifically, just the public as a whole. Research has  shown that households will bear most of the cost of the federal carbon tax in Canada, with  Saskatchewan households set to bear the highest cost of any province, likely due to methods of  energy production (Parliamentary Budget Officer, 2020). The 2020 parliamentary budget officers  report estimated that the federal carbon tax’s revenue in the 2022-2023 period would be 8.5  billion dollars. This means the total cost of the tax must be more than 8.5 billion dollars, as pure  revenue does not reflect the full cost to society of the tax. The same report indicated that costs to  households are projected to steadily rise, and peak around the 2022-2023 year, afterward slowly  declining due to emissions reductions in production and consumption choices (Parliamentary  Budget Officer, 2020). This also means that revenues will likely peak around this time. As for  income-based distribution of cost, the average household in the highest quintile of income is  expected to pay two or three times as much per household as the average household in the lowest  quintile, mostly due to larger family sizes, but also due to some consumption and lifestyle  preferences (Parliamentary Budget Officer, 2020). Low income households with large family  sizes are likely to be the most negatively affected by carbon pricing.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15289306640625" w:line="460.440731048584" w:lineRule="auto"/>
        <w:ind w:left="2.39990234375" w:right="215.8837890625" w:firstLine="721.460113525390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Because of the cost of increased taxes, policymakers attempt to use tax revenue in ways  that can offset the costs. In Canada, the federal carbon tax was implemented with a promise of  total revenue neutrality and redistribution to Canadian households, however this is not entirely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8575973510742" w:lineRule="auto"/>
        <w:ind w:left="0.479888916015625" w:right="79.002685546875" w:firstLine="1.9200134277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true. In reality, 90 percent of the revenues generated from the carbon tax will be returned to their  province of origin and distributed on a household basis (Parliamentary Budget Officer, 2020). The remaining 10% of revenues are expected to return to particularly vulnerable industries, this  is possibly referring to the special OBPS revenues that are re invested to stimulate clean  technology and production use (Parliamentary Budget Officer, 2020). The federal climate action  incentive payment is progressive, meaning that a higher proportion is given to lower income  households (Parliamentary Budget Officer, 2020). The 2020 Parliamentary Budget Officer’s  report showed that the majority of households actually receive net positive income from the  carbon tax, meaning they received more money in transfers from the government than was  directly spent because of the tax. In fact, almost all households below the fifth income quintile  are expected to receive a net nominal gain, due to the progressive nature of the carbon tax rebate  system (Parliamentary Budget Officer, 2020). Household payment structure is designed with  progressive distribution in mind, as payments for the second adult in a household will be half as  much as the first, and so on, as well as payments for the first child will be 1/4th as much as the  first adult (Parliamentary Budget Officer, 2020). Just as revenues were stated to decline after the  2022-23 year in the Parliamentary Budget officer’s 2020 report, household transfer amounts will  also be expected to decline after this period.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06195068359375" w:line="459.999303817749" w:lineRule="auto"/>
        <w:ind w:left="0" w:right="152.1606445312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federal carbon tax is relatively new, so the large part of current information is still  based on projections. There is however, a viable Canadian case in which reasonable predictions  can be based off of. British Columbia's provincial carbon tax system was instituted in 2008, and  served a large part in the design of the federal system (Federal Government of Canada, 2022).  British Columbia’s carbon tax system uses a price per unit of emission model, and uses revenue  recycling to fund household transfers, tax cuts, tax credits, and special support to affected rural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9492073059082" w:lineRule="auto"/>
        <w:ind w:left="0.479888916015625" w:right="76.12060546875" w:firstLine="7.680053710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areas (Beck et Al, 2015). More specifically, BC uses revenues to cut their corporate income tax  rate, as well as their two lowest personal income tax rates by 5 percent each (Elgie et Al, 2013).  Through intense analysis, this system has been shown to reduce overall welfare by as little as  0.01%, while simultaneously making major strides in cutting carbon emissions (Beck et Al,  2015). BC’s economic growth has even kept pace with the rest of Canada, showing that the tax  combined with revenue recycling was able to minimize any effects on their productivity as a  province (Elgie et Al, 2013). To take a broader, international perspective, an EU study of seven  countries showed that the implementation of carbon of carbon taxes had a neutral or even  slightly positive effect on GDP, however European countries are often not as carbon intensive in  production or consumption as North American countries are. (Elgie et Al, 2013). While the long  track record and relevant socio-economic conditions of British Columbia’s provincial carbon tax  produce a good framework for expectations on a federal level, results may not be completely  replicated everywhere. One major criticism of using BC as a framework is the fact that BC is  mainly powered through hydropower, cutting great welfare costs of the carbon tax to household  consumers (Beck et Al, 2015). Nonetheless, BC provides a good reference point for revenue  recycling decisions.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7109375" w:line="460.38525581359863" w:lineRule="auto"/>
        <w:ind w:left="3.119964599609375" w:right="78.8403320312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Speaking of the progressive lump sum payment system, research has shown that taxes on  carbon emissions can disproportionately affect low income households (Grainger et Al, 2010).  The same research showed that the differences in proportional burden of carbon taxes can be as  much as 1.4 times when comparing the lowest income quintile to the highest (Grainger et Al,  2010). This means a larger part of low income households total income is spent on taxed goods. The degree to which a carbon tax is regressive, however, depends on specifics. A tax only on  final consumption is more regressive than a tax on all carbon emitting activities (Grainger et Al,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64917182922363" w:lineRule="auto"/>
        <w:ind w:left="3.839874267578125" w:right="134.9609375" w:firstLine="2.64007568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2010). If highly regressive carbon tax should be implemented, a smart policymaker would pair it with progressive lump sum transfers to households or tax cuts and subsidies that directly target  low-income households to minimize net costs of the policy. Because the Canadian carbon tax is  only on end consumption, while large emitters are part of OBPS, it is regressive.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87158203125" w:line="459.9038314819336" w:lineRule="auto"/>
        <w:ind w:left="0" w:right="59.04052734375" w:firstLine="723.37997436523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Although lump sum transfers were chosen by the Canadian federal government for the  majority of revenues from the carbon tax, we have already seen that these aren’t the only tools  that can be used to offset costs induced by the policy. In a 2018 study by Zhu et Al, policy  options for revenue recycling were compared, including lump sum transfers, cuts to capital and  labour taxes, subsidizing renewable energy, and subsidizing investment. This study simulated a  theoretical carbon tax with revenue recycling in the United States (Zhu et Al, 2018). Each option  was shown to have its own strengths, as lump sum payments were shown to increase  consumption, decreased capital and labour taxes increased activity in production, renewable  energy subsidies sped up research, development, and deployment of less carbon based energy  sources, and subsidies to investment were shown to increase investment activity (Zhu et Al,  2018). Overall, subsidies to renewable energy seemed to be the least desirable option in terms of  reducing negative economic and welfare effects (Zhu et Al, 2018). This is unfortunate, but  expected, as this option would have focused most on transition to a green economy rather than a  purely optimal one. Cutting labour taxes brought least welfare loss in the short term, while  cutting capital taxes brought the least welfare loss in the long term, and the decision between the  two, or to ultimately decide on investment subsidies would depend on the discount rate (Zhu et  Al, 2018). Subsidy to investment was shown to be the best choice for increasing GDP, with  capital and labour tax cuts coming in second, and lump sum household transfers in third, purely  based on economic efficiency (Zhu et al, 2018). The idea behind the efficiency of an investment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60.39878845214844" w:lineRule="auto"/>
        <w:ind w:left="0.479888916015625" w:right="90.1611328125" w:firstLine="11.04003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subsidy is that increased investment will build capital stocks, therefore reducing energy use and  emissions, while also boosting GDP (Zhu et al, 2018). Keep in mind however, Zhu et Al.’s 2018  paper is a simulation run purely in American context.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21484375" w:line="459.98242378234863" w:lineRule="auto"/>
        <w:ind w:left="1.439971923828125" w:right="160.440673828125" w:firstLine="722.660064697265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his 1995 paper, Parry brings up the point that implementing environmental taxes also  has the effect of exacerbating existing distortions in the labour market caused by pre existing  taxes. Parry (1995) recommends using these revenues to offset the costs of the extra distortions,  which might even result in net reductions in the preexisting distortions. The same research  indicated that using the revenues for subsidies in production could increase the demand for  labour, in a scenario where low employment rates were an issue (Parry, 1995).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9371337890625" w:line="459.14958000183105" w:lineRule="auto"/>
        <w:ind w:left="2.159881591796875" w:right="234.6240234375" w:firstLine="721.22009277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A.L.B et Al (2000) recommends a few distributional options for revenue recycling that  go beyond traditional methods. Some of the proposed methods include industry specific cuts in  corporate income tax as well as industry specific lump sum transfers (A.L.B et Al, 2000).  Methods like these would be likely to reduce the pressure of the new tax on industries that are  most affected but may not bode well for the popularity of the carbon tax among the average  taxpayer, as their net benefit of the tax may now become negative.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70654296875" w:line="460.06590843200684" w:lineRule="auto"/>
        <w:ind w:left="0.479888916015625" w:right="86.960449218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Environmental studies often talk about something called “The Double Dividend”, the  double benefit received from a cleaner environment as well as reduced distortions in the  preexisting tax system (Bovenberg, 1999). In his 1999 paper, Bovenberg even argued that some  environmental policy should be enacted if the double dividend effect is present, even if the  effectiveness of increasing environmental quality is questionable, because the revenues can be  used to reduce economic distortion. Findings in the same paper indicate that the double dividend  can arise easily from cuts in taxes if those taxes have been set sub optimally already, before the  introduction of the environmental policy (Bovenberg, 1999). Goulder (2013) sets out two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80077743530273" w:lineRule="auto"/>
        <w:ind w:left="0.479888916015625" w:right="44.56298828125" w:firstLine="0.24002075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necessary conditions for a double dividend to arise, being 1. “The initial tax system must be  inefficient along some </w:t>
      </w:r>
      <w:r w:rsidDel="00000000" w:rsidR="00000000" w:rsidRPr="00000000">
        <w:rPr>
          <w:rFonts w:ascii="Times New Roman" w:cs="Times New Roman" w:eastAsia="Times New Roman" w:hAnsi="Times New Roman"/>
          <w:sz w:val="24"/>
          <w:szCs w:val="24"/>
          <w:rtl w:val="0"/>
        </w:rPr>
        <w:t xml:space="preserve">non environmental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dimension”, and 2. “The revenue-neutral tax reform  reduces this non-environmental inefficiency”. These are just necessary conditions however, and  Goulder (2013) also states that “The reduction in the non-environmental inefficiency associated  with revenue-recycling effect must be large enough to overcome both the tax-interaction effect  and the primary cost” with tax-interaction effect referring to the implicit cost that the carbon tax  has on factors of production, and primary cost referring to the loss of value resulting from  moving from the private marginal cost curve’s equilibrium to the social marginal cost curve’s  equilibrium. Although Zhu et Al’s 2018 paper suggests that tax cuts are more efficient than lump  sum transfers, it would seem that some more contextual information is required to make a final  decision between the two. Investment subsidies however, are almost always extremely beneficial  to the economy.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1190185546875" w:line="459.9909782409668" w:lineRule="auto"/>
        <w:ind w:left="2.39990234375" w:right="2.800292968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remember from Dahlby et Al (2011) that provincial corporate income tax was shown  to have one of the highest MCF, meaning that additions to this tax are extremely costly on  society. Working backwards, reducing this tax should then logically have one of the greatest  marginal gains to society. As stated above, the tax should primarily affect households, but will  also have larger implicit effects on the whole economy. When deciding on a revenue recycling  method, a policymaker will have to decide which side needs more aid from the taxes negative  effects, households or industries. In a setting where the general public largely unconditionally supports climate action policies, this revenue can go toward funding a greener and even less  distortionary economy, whereas in a setting where the public doesn’t care as much for climate  action policy, households will need to be supported more. Perhaps in a setting where the public is  neutral towards climate action policies, investment could be subsidized, as this decision is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60.10144233703613" w:lineRule="auto"/>
        <w:ind w:left="0.479888916015625" w:right="11.92138671875" w:firstLine="5.27999877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desirable to both households and industry. Keeping the goal of the tax in mind, a decision to  support industry can further be broken down into special support for particularly affected sectors,  and to stimulate research, development, and deployment of green technology, to further  maximize the efficiency and benefit of the public funds. One often overlooked factor is that as  revenues decrease due to the carbon emitting tax base shrinking, the ability to pay these  households or reduce distortionary taxes will decrease. Without the revenue of the carbon tax,  today’s decision to reduce taxes could leave the government with significantly less funds when  the carbon tax’s revenue runs dry, and this policy may set a precedent that is difficult to reverse.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8193359375" w:line="460.08373260498047" w:lineRule="auto"/>
        <w:ind w:left="0.479888916015625" w:right="20.0415039062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reality, there exists an endless number of strategies for breaking up and distributing  revenues collected from Canada’s federal carbon tax. While in an ideal economic world,  policymakers would choose what is optimal, the optimal choice is not always easiest or  necessarily even the most popular. When choosing the distribution method, questions of equity  and the very need for a carbon tax itself are called upon. The truth is that a carbon tax is hard to  swallow for many Canadian citizens. Many actively fight against the carbon tax, and even elect  politicians on the basis of their intent to reduce or remove the carbon tax. Most of the general  public does not understand the nuances of the carbon tax, or how it truly affects them and their  day to day lives, so it is even more difficult for them to understand how revenues could be  optimally reinvested to benefit themselves. Policymakers are faced with choices everyday, and  an unfortunate truth is that they must often choose a policy that is more popular, or easier to  understand, over the optimal choice. While findings may show that cuts in taxes or subsidies to  investment are more optimal from an economic standpoint, many consumers are likely only to  notice short term losses generated from the federal carbon tax. The simple solution is to show the  majority of Canadians that they get a direct net benefit from this policy. For the large proportion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60.10144233703613" w:lineRule="auto"/>
        <w:ind w:left="0" w:right="207.640380859375" w:firstLine="6.2399291992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Canadians against having a carbon tax at all, this may be the easiest pill to swallow.  Policymaking is a multi disciplinary field, and therefore policymakers must make decisions based on economic factors, but also must consider psychological, social, environmental, and  even religious factors. As much as the layman or even specialized researcher enjoys arguing  otherwise, policymakers are, for the most part, good at their jobs, and have done adequate  research and consulting to come to their decisions. This is likely why the federal government  continues to use lump sum transfers as their method of revenue recycling for the federal carbon  tax.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0.819091796875" w:line="240" w:lineRule="auto"/>
        <w:ind w:left="3.35998535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References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0.3204345703125" w:line="460.31564712524414" w:lineRule="auto"/>
        <w:ind w:left="720.9799194335938" w:right="175.345458984375" w:hanging="718.09997558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L. B., &amp; Goulder, L. H. (2000). Neutralizing the adverse industry impacts of CO2 abatement  policies: What does it cost?. Cambridge: National Bureau of Economic Research, Inc.  doi:https://doi.org/10.3386/w7654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00457763671875" w:line="458.1499671936035" w:lineRule="auto"/>
        <w:ind w:left="724.1000366210938" w:right="370.439453125" w:hanging="720.74005126953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Beck, M., Rivers, N., Wigle, R., Yonezawa, H. (2015). “Carbon Tax and Revenue Recycling:  Impacts</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8.1499671936035" w:lineRule="auto"/>
        <w:ind w:left="718.0999755859375" w:right="129.74365234375" w:hanging="714.739990234375"/>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Bovenberg, A. L. (1999). Green tax reforms and the double dividend: an updated reader's guide.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International tax and public finance</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6</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421-443.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69189453125" w:line="240" w:lineRule="auto"/>
        <w:ind w:left="721.94000244140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https://link.springer.com/article/10.1023/A:1008715920337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91943359375" w:line="462.81529426574707" w:lineRule="auto"/>
        <w:ind w:left="723.8600158691406" w:right="485.4248046875" w:hanging="720.500030517578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Dahlby, Bev and Ergete Ferede (2011), “What Does It Cost Society to Raise a Dollar of Tax  Revenue?” C.D. Howe Institute Commentary No. 324.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044921875" w:line="460.3989887237549" w:lineRule="auto"/>
        <w:ind w:left="2.159881591796875" w:right="13.0407714843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Elgie, S., &amp; McClay, J. (2013). Policy Commentary/Commentaire BC’s carbon tax shift is  working well after four years (attention Ottawa).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Canadian Public Policy</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39</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(Supplement  2), S1-S10.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https://www.utpjournals.press/doi/full/10.3138/CPP.39.Supplement2.S1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208740234375" w:line="460.3989887237549" w:lineRule="auto"/>
        <w:ind w:left="2.159881591796875" w:right="203.52172851562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Federal Government of Canada. (2022). How carbon pricing works. Government of Canada.  https://www.canada.ca/en/environment-climate-change/services/climate-change/pricing pollution-how-it-will-work/putting-price-on-carbon-pollution.html#toc0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208740234375" w:line="462.8148078918457" w:lineRule="auto"/>
        <w:ind w:left="722.659912109375" w:right="590.54443359375" w:hanging="714.980010986328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Goulder, Lawrence H. (2013), “Climate Change Policy’s Interaction with the Tax System,”  Energy Economics 40(S1), S3-S11.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051025390625" w:line="460.3989887237549" w:lineRule="auto"/>
        <w:ind w:left="716.9000244140625" w:right="137.001953125" w:hanging="709.94003295898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Grainger, C. A., &amp; Kolstad, C. D. (2010). Who pays a price on carbon?.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Environmental and  Resource Economics</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46</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359-376.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https://link.springer.com/article/10.1007/s10640-010- 9345-x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5208740234375" w:line="462.8148078918457" w:lineRule="auto"/>
        <w:ind w:left="723.6199951171875" w:right="239.080810546875" w:hanging="720.260009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Parliamentary Budget Officer (2020), “Reviewing the Fiscal and Distributional Analysis of the  Federal Carbon Pricing System,” 4 February 2020.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051025390625" w:line="458.1499671936035" w:lineRule="auto"/>
        <w:ind w:left="723.8600158691406" w:right="85.52001953125" w:hanging="720.7400512695312"/>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Parry, I. W. (1995). Pollution taxes and revenue recycling.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Journal of Environmental Economics  and management</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29</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(3), S64-S77.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70147705078125" w:line="240" w:lineRule="auto"/>
        <w:ind w:left="721.94000244140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https://www.sciencedirect.com/science/article/abs/pii/S0095069685710613</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38085937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260498046875" w:line="459.64917182922363" w:lineRule="auto"/>
        <w:ind w:left="723.1399536132812" w:right="481.400146484375" w:hanging="721.699981689453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Zhu, Yunfa, Madanmohan Ghosh, Deming Luo, Nick Macaluso, and Jacob Rattray (2018),  “Revenue Recycling and Cost-Effective GHG Abatement: An Exploratory Analysis  Using a Global MultiSector Multi-Region CGE Model,” Climate Change Economics  9(1).</w:t>
      </w:r>
    </w:p>
    <w:sectPr>
      <w:pgSz w:h="15840" w:w="12240" w:orient="portrait"/>
      <w:pgMar w:bottom="1545.5000305175781" w:top="710.6005859375" w:left="1441.2200927734375" w:right="1383.67919921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